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CellMar>
          <w:left w:w="0" w:type="dxa"/>
          <w:right w:w="0" w:type="dxa"/>
        </w:tblCellMar>
        <w:tblLook w:val="04A0" w:firstRow="1" w:lastRow="0" w:firstColumn="1" w:lastColumn="0" w:noHBand="0" w:noVBand="1"/>
      </w:tblPr>
      <w:tblGrid>
        <w:gridCol w:w="2931"/>
        <w:gridCol w:w="4299"/>
        <w:gridCol w:w="2693"/>
      </w:tblGrid>
      <w:tr w:rsidR="0021279D" w:rsidRPr="0021279D" w14:paraId="375E5D42" w14:textId="77777777" w:rsidTr="0021279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C9E7371" w14:textId="77777777" w:rsidR="0021279D" w:rsidRPr="0021279D" w:rsidRDefault="0021279D" w:rsidP="0021279D">
            <w:r w:rsidRPr="0021279D">
              <w:t>25 Eylül 2024 ÇARŞAMBA</w:t>
            </w:r>
          </w:p>
        </w:tc>
        <w:tc>
          <w:tcPr>
            <w:tcW w:w="4299" w:type="dxa"/>
            <w:tcBorders>
              <w:top w:val="nil"/>
              <w:left w:val="nil"/>
              <w:bottom w:val="single" w:sz="8" w:space="0" w:color="660066"/>
              <w:right w:val="nil"/>
            </w:tcBorders>
            <w:tcMar>
              <w:top w:w="0" w:type="dxa"/>
              <w:left w:w="108" w:type="dxa"/>
              <w:bottom w:w="0" w:type="dxa"/>
              <w:right w:w="108" w:type="dxa"/>
            </w:tcMar>
            <w:vAlign w:val="center"/>
            <w:hideMark/>
          </w:tcPr>
          <w:p w14:paraId="05BF834E" w14:textId="77777777" w:rsidR="0021279D" w:rsidRPr="0021279D" w:rsidRDefault="0021279D" w:rsidP="0021279D">
            <w:pPr>
              <w:ind w:left="1890"/>
            </w:pPr>
            <w:r w:rsidRPr="0021279D">
              <w:rPr>
                <w:b/>
                <w:bCs/>
              </w:rPr>
              <w:t>Resmî Gazete</w:t>
            </w:r>
          </w:p>
        </w:tc>
        <w:tc>
          <w:tcPr>
            <w:tcW w:w="2693" w:type="dxa"/>
            <w:tcBorders>
              <w:top w:val="nil"/>
              <w:left w:val="nil"/>
              <w:bottom w:val="single" w:sz="8" w:space="0" w:color="660066"/>
              <w:right w:val="nil"/>
            </w:tcBorders>
            <w:tcMar>
              <w:top w:w="0" w:type="dxa"/>
              <w:left w:w="108" w:type="dxa"/>
              <w:bottom w:w="0" w:type="dxa"/>
              <w:right w:w="108" w:type="dxa"/>
            </w:tcMar>
            <w:vAlign w:val="center"/>
            <w:hideMark/>
          </w:tcPr>
          <w:p w14:paraId="1F1D053B" w14:textId="77777777" w:rsidR="0021279D" w:rsidRPr="0021279D" w:rsidRDefault="0021279D" w:rsidP="0021279D">
            <w:pPr>
              <w:jc w:val="right"/>
            </w:pPr>
            <w:proofErr w:type="gramStart"/>
            <w:r w:rsidRPr="0021279D">
              <w:t>Sayı :</w:t>
            </w:r>
            <w:proofErr w:type="gramEnd"/>
            <w:r w:rsidRPr="0021279D">
              <w:t xml:space="preserve"> 32673</w:t>
            </w:r>
          </w:p>
        </w:tc>
      </w:tr>
      <w:tr w:rsidR="0021279D" w:rsidRPr="0021279D" w14:paraId="59902DD9" w14:textId="77777777" w:rsidTr="0021279D">
        <w:trPr>
          <w:trHeight w:val="480"/>
        </w:trPr>
        <w:tc>
          <w:tcPr>
            <w:tcW w:w="9923" w:type="dxa"/>
            <w:gridSpan w:val="3"/>
            <w:tcMar>
              <w:top w:w="0" w:type="dxa"/>
              <w:left w:w="108" w:type="dxa"/>
              <w:bottom w:w="0" w:type="dxa"/>
              <w:right w:w="108" w:type="dxa"/>
            </w:tcMar>
            <w:vAlign w:val="center"/>
            <w:hideMark/>
          </w:tcPr>
          <w:p w14:paraId="3A2C88FD" w14:textId="77777777" w:rsidR="0021279D" w:rsidRPr="0021279D" w:rsidRDefault="0021279D" w:rsidP="0021279D">
            <w:pPr>
              <w:jc w:val="center"/>
            </w:pPr>
            <w:r w:rsidRPr="0021279D">
              <w:rPr>
                <w:b/>
                <w:bCs/>
              </w:rPr>
              <w:t>TEBLİĞ</w:t>
            </w:r>
          </w:p>
        </w:tc>
      </w:tr>
      <w:tr w:rsidR="0021279D" w:rsidRPr="0021279D" w14:paraId="0B1273E5" w14:textId="77777777" w:rsidTr="0021279D">
        <w:trPr>
          <w:trHeight w:val="480"/>
        </w:trPr>
        <w:tc>
          <w:tcPr>
            <w:tcW w:w="9923" w:type="dxa"/>
            <w:gridSpan w:val="3"/>
            <w:tcMar>
              <w:top w:w="0" w:type="dxa"/>
              <w:left w:w="108" w:type="dxa"/>
              <w:bottom w:w="0" w:type="dxa"/>
              <w:right w:w="108" w:type="dxa"/>
            </w:tcMar>
            <w:vAlign w:val="center"/>
            <w:hideMark/>
          </w:tcPr>
          <w:p w14:paraId="0B3BB2CE" w14:textId="77777777" w:rsidR="0021279D" w:rsidRPr="0021279D" w:rsidRDefault="0021279D" w:rsidP="0021279D">
            <w:pPr>
              <w:jc w:val="both"/>
              <w:rPr>
                <w:u w:val="single"/>
              </w:rPr>
            </w:pPr>
            <w:r w:rsidRPr="0021279D">
              <w:rPr>
                <w:u w:val="single"/>
              </w:rPr>
              <w:t>Hazine ve Maliye Bakanlığı (Gelir İdaresi Başkanlığı)’</w:t>
            </w:r>
            <w:proofErr w:type="spellStart"/>
            <w:r w:rsidRPr="0021279D">
              <w:rPr>
                <w:u w:val="single"/>
              </w:rPr>
              <w:t>ndan</w:t>
            </w:r>
            <w:proofErr w:type="spellEnd"/>
            <w:r w:rsidRPr="0021279D">
              <w:rPr>
                <w:u w:val="single"/>
              </w:rPr>
              <w:t>:</w:t>
            </w:r>
          </w:p>
          <w:p w14:paraId="0C473B91" w14:textId="77777777" w:rsidR="0021279D" w:rsidRPr="0021279D" w:rsidRDefault="0021279D" w:rsidP="0021279D">
            <w:pPr>
              <w:jc w:val="center"/>
              <w:rPr>
                <w:b/>
                <w:bCs/>
              </w:rPr>
            </w:pPr>
            <w:r w:rsidRPr="0021279D">
              <w:rPr>
                <w:b/>
                <w:bCs/>
              </w:rPr>
              <w:t>VERGİ USUL KANUNU GENEL TEBLİĞİ</w:t>
            </w:r>
          </w:p>
          <w:p w14:paraId="23C4DC08" w14:textId="77777777" w:rsidR="0021279D" w:rsidRPr="0021279D" w:rsidRDefault="0021279D" w:rsidP="0021279D">
            <w:pPr>
              <w:jc w:val="center"/>
              <w:rPr>
                <w:b/>
                <w:bCs/>
              </w:rPr>
            </w:pPr>
            <w:r w:rsidRPr="0021279D">
              <w:rPr>
                <w:b/>
                <w:bCs/>
              </w:rPr>
              <w:t>(SIRA NO: 565)</w:t>
            </w:r>
          </w:p>
          <w:p w14:paraId="5239D4C7" w14:textId="77777777" w:rsidR="0021279D" w:rsidRPr="0021279D" w:rsidRDefault="0021279D" w:rsidP="0021279D">
            <w:pPr>
              <w:jc w:val="both"/>
            </w:pPr>
            <w:r w:rsidRPr="0021279D">
              <w:rPr>
                <w:b/>
                <w:bCs/>
              </w:rPr>
              <w:t>Amaç ve konu</w:t>
            </w:r>
          </w:p>
          <w:p w14:paraId="0FA4C723" w14:textId="77777777" w:rsidR="0021279D" w:rsidRPr="0021279D" w:rsidRDefault="0021279D" w:rsidP="0021279D">
            <w:pPr>
              <w:jc w:val="both"/>
            </w:pPr>
            <w:r w:rsidRPr="0021279D">
              <w:rPr>
                <w:b/>
                <w:bCs/>
              </w:rPr>
              <w:t>MADDE 1- </w:t>
            </w:r>
            <w:r w:rsidRPr="0021279D">
              <w:t>(1) Vergiye uyum maliyetleri ile bildirim verme yükümlülüğünün azaltılması amacıyla, 4/1/1961 tarihli ve 213 sayılı Vergi Usul Kanununun 148, 149, 170/A ve mükerrer 257 nci maddelerinin Hazine ve Maliye Bakanlığına verdiği yetkiye dayanılarak yayımlanan muhtelif vergi usul kanunu genel tebliğleri ile bilanço esasına göre defter tutan mükelleflerin belirli bir haddi aşan mal ve hizmet alım ve satımlarına ilişkin olarak vermekle yükümlü oldukları Form </w:t>
            </w:r>
            <w:proofErr w:type="spellStart"/>
            <w:r w:rsidRPr="0021279D">
              <w:t>Ba</w:t>
            </w:r>
            <w:proofErr w:type="spellEnd"/>
            <w:r w:rsidRPr="0021279D">
              <w:t> ve Form </w:t>
            </w:r>
            <w:proofErr w:type="spellStart"/>
            <w:r w:rsidRPr="0021279D">
              <w:t>Bs</w:t>
            </w:r>
            <w:proofErr w:type="spellEnd"/>
            <w:r w:rsidRPr="0021279D">
              <w:t> bildirimlerinin verilmesine yönelik uygulamaya son verilmesine dair usul ve esasların belirlenmesi bu Tebliğin amaç ve konusunu oluşturmaktadır.</w:t>
            </w:r>
          </w:p>
          <w:p w14:paraId="3F785252" w14:textId="77777777" w:rsidR="0021279D" w:rsidRPr="0021279D" w:rsidRDefault="0021279D" w:rsidP="0021279D">
            <w:pPr>
              <w:jc w:val="both"/>
            </w:pPr>
            <w:r w:rsidRPr="0021279D">
              <w:rPr>
                <w:b/>
                <w:bCs/>
              </w:rPr>
              <w:t>Form </w:t>
            </w:r>
            <w:proofErr w:type="spellStart"/>
            <w:r w:rsidRPr="0021279D">
              <w:rPr>
                <w:b/>
                <w:bCs/>
              </w:rPr>
              <w:t>Ba</w:t>
            </w:r>
            <w:proofErr w:type="spellEnd"/>
            <w:r w:rsidRPr="0021279D">
              <w:rPr>
                <w:b/>
                <w:bCs/>
              </w:rPr>
              <w:t> ve Form </w:t>
            </w:r>
            <w:proofErr w:type="spellStart"/>
            <w:r w:rsidRPr="0021279D">
              <w:rPr>
                <w:b/>
                <w:bCs/>
              </w:rPr>
              <w:t>Bs</w:t>
            </w:r>
            <w:proofErr w:type="spellEnd"/>
            <w:r w:rsidRPr="0021279D">
              <w:rPr>
                <w:b/>
                <w:bCs/>
              </w:rPr>
              <w:t> bildirimi verilmesi uygulamasına son verilmesi</w:t>
            </w:r>
          </w:p>
          <w:p w14:paraId="05FAEE02" w14:textId="77777777" w:rsidR="0021279D" w:rsidRPr="0021279D" w:rsidRDefault="0021279D" w:rsidP="0021279D">
            <w:pPr>
              <w:jc w:val="both"/>
            </w:pPr>
            <w:r w:rsidRPr="0021279D">
              <w:rPr>
                <w:b/>
                <w:bCs/>
              </w:rPr>
              <w:t>MADDE 2- </w:t>
            </w:r>
            <w:r w:rsidRPr="0021279D">
              <w:t>(1) 213 sayılı Kanunun 148, 149 ve mükerrer 257 nci maddelerinin Hazine ve Maliye Bakanlığına verdiği yetkiye dayanılarak, 21/7/2005 tarihli ve 25882 sayılı Resmî Gazete’de yayımlanan Vergi Usul Kanunu Genel Tebliği (Sıra No: 350)’</w:t>
            </w:r>
            <w:proofErr w:type="spellStart"/>
            <w:r w:rsidRPr="0021279D">
              <w:t>yle</w:t>
            </w:r>
            <w:proofErr w:type="spellEnd"/>
            <w:r w:rsidRPr="0021279D">
              <w:t>, bilanço esasına göre defter tutan mükelleflerin belirli bir haddi aşan mal ve hizmet alımlarını “Mal ve Hizmet Alımlarına İlişkin Bildirim Formu (Form </w:t>
            </w:r>
            <w:proofErr w:type="spellStart"/>
            <w:r w:rsidRPr="0021279D">
              <w:t>Ba</w:t>
            </w:r>
            <w:proofErr w:type="spellEnd"/>
            <w:r w:rsidRPr="0021279D">
              <w:t>)” ile, mal ve hizmet satışlarını ise “Mal ve Hizmet Satışlarına İlişkin Bildirim Formu (Form </w:t>
            </w:r>
            <w:proofErr w:type="spellStart"/>
            <w:r w:rsidRPr="0021279D">
              <w:t>Bs</w:t>
            </w:r>
            <w:proofErr w:type="spellEnd"/>
            <w:r w:rsidRPr="0021279D">
              <w:t>)” ile bildirmeleri yükümlülüğü getirilmiştir.</w:t>
            </w:r>
          </w:p>
          <w:p w14:paraId="06896A84" w14:textId="77777777" w:rsidR="0021279D" w:rsidRPr="0021279D" w:rsidRDefault="0021279D" w:rsidP="0021279D">
            <w:pPr>
              <w:jc w:val="both"/>
            </w:pPr>
            <w:r w:rsidRPr="0021279D">
              <w:t>(2) Daha sonra 17/8/2006 tarihli ve 26262 sayılı Resmî Gazete’de yayımlanan Vergi Usul Kanunu Genel Tebliği (Sıra No: 362), 6/2/2008 tarihli ve 26779 sayılı Resmî Gazete’de yayımlanan Vergi Usul Kanunu Genel Tebliği (Sıra No: 381) ve 4/2/2010 tarihli ve 27483 sayılı Resmî Gazete’de yayımlanan Vergi Usul Kanunu Genel Tebliği (Sıra No: 396) ile de bu yükümlülüğe ilişkin açıklamalar yapılmıştır.</w:t>
            </w:r>
          </w:p>
          <w:p w14:paraId="60C80EBC" w14:textId="77777777" w:rsidR="0021279D" w:rsidRPr="0021279D" w:rsidRDefault="0021279D" w:rsidP="0021279D">
            <w:pPr>
              <w:jc w:val="both"/>
            </w:pPr>
            <w:r w:rsidRPr="0021279D">
              <w:t>(3) Elektronik belge uygulamalarının yaygınlaşması, elektronik ortamda düzenlenen belgelere erişimin kolaylaşması ve kamu kurumları arasındaki bilgi paylaşımının etkinleşmesine bağlı olarak vergi mükelleflerinin uyum maliyetlerinin azaltılması, mükellef ve meslek mensupları tarafından verilmesi gereken bildirimlerin azaltılması amacıyla, Eylül 2024 dönemi bildirimlerinden başlamak üzere Form </w:t>
            </w:r>
            <w:proofErr w:type="spellStart"/>
            <w:r w:rsidRPr="0021279D">
              <w:t>Ba</w:t>
            </w:r>
            <w:proofErr w:type="spellEnd"/>
            <w:r w:rsidRPr="0021279D">
              <w:t> ve Form </w:t>
            </w:r>
            <w:proofErr w:type="spellStart"/>
            <w:r w:rsidRPr="0021279D">
              <w:t>Bs</w:t>
            </w:r>
            <w:proofErr w:type="spellEnd"/>
            <w:r w:rsidRPr="0021279D">
              <w:t> bildirimlerinin verilmesi uygulamasına son verilmesi uygun bulunmuştur.</w:t>
            </w:r>
          </w:p>
          <w:p w14:paraId="75EA38C1" w14:textId="77777777" w:rsidR="0021279D" w:rsidRDefault="0021279D" w:rsidP="0021279D">
            <w:pPr>
              <w:jc w:val="both"/>
            </w:pPr>
            <w:r w:rsidRPr="0021279D">
              <w:t>(4) Bu kapsamda, Eylül 2024 dönemi ve bu dönemi izleyen dönemlere ilişkin olarak Form </w:t>
            </w:r>
            <w:proofErr w:type="spellStart"/>
            <w:r w:rsidRPr="0021279D">
              <w:t>Ba</w:t>
            </w:r>
            <w:proofErr w:type="spellEnd"/>
            <w:r w:rsidRPr="0021279D">
              <w:t> ve Form </w:t>
            </w:r>
            <w:proofErr w:type="spellStart"/>
            <w:r w:rsidRPr="0021279D">
              <w:t>Bs</w:t>
            </w:r>
            <w:proofErr w:type="spellEnd"/>
            <w:r w:rsidRPr="0021279D">
              <w:t> bildirimi verilmeyecektir.</w:t>
            </w:r>
          </w:p>
          <w:p w14:paraId="3B2BA018" w14:textId="77777777" w:rsidR="0021279D" w:rsidRDefault="0021279D" w:rsidP="0021279D">
            <w:pPr>
              <w:jc w:val="both"/>
            </w:pPr>
          </w:p>
          <w:p w14:paraId="68CD679F" w14:textId="77777777" w:rsidR="0021279D" w:rsidRPr="0021279D" w:rsidRDefault="0021279D" w:rsidP="0021279D">
            <w:pPr>
              <w:jc w:val="both"/>
            </w:pPr>
          </w:p>
          <w:p w14:paraId="35904AFC" w14:textId="77777777" w:rsidR="0021279D" w:rsidRPr="0021279D" w:rsidRDefault="0021279D" w:rsidP="0021279D">
            <w:pPr>
              <w:jc w:val="both"/>
            </w:pPr>
            <w:r w:rsidRPr="0021279D">
              <w:rPr>
                <w:b/>
                <w:bCs/>
              </w:rPr>
              <w:t>Yürürlükten kaldırılan tebliğler</w:t>
            </w:r>
          </w:p>
          <w:p w14:paraId="7B997D96" w14:textId="77777777" w:rsidR="0021279D" w:rsidRPr="0021279D" w:rsidRDefault="0021279D" w:rsidP="0021279D">
            <w:pPr>
              <w:jc w:val="both"/>
            </w:pPr>
            <w:r w:rsidRPr="0021279D">
              <w:rPr>
                <w:b/>
                <w:bCs/>
              </w:rPr>
              <w:t>MADDE 3- </w:t>
            </w:r>
            <w:r w:rsidRPr="0021279D">
              <w:t>(1) Vergi Usul Kanunu Genel Tebliği (Sıra No: 362), Vergi Usul Kanunu Genel Tebliği (Sıra No: 381) ve Vergi Usul Kanunu Genel Tebliği (Sıra No: 396), Eylül 2024 dönemi bildirimlerinden başlamak üzere yürürlükten kaldırılmıştır.</w:t>
            </w:r>
          </w:p>
          <w:p w14:paraId="4A73CDBD" w14:textId="77777777" w:rsidR="0021279D" w:rsidRPr="0021279D" w:rsidRDefault="0021279D" w:rsidP="0021279D">
            <w:pPr>
              <w:jc w:val="both"/>
            </w:pPr>
            <w:r w:rsidRPr="0021279D">
              <w:t>(2) Eylül 2024 döneminden önceki dönemlere ilişkin olarak Vergi Usul Kanunu Genel Tebliği (Sıra No: 362), Vergi Usul Kanunu Genel Tebliği (Sıra No: 381) ve Vergi Usul Kanunu Genel Tebliği (Sıra No: 396)’nin uygulamasına devam edilecektir.</w:t>
            </w:r>
          </w:p>
          <w:p w14:paraId="57A8BB61" w14:textId="77777777" w:rsidR="0021279D" w:rsidRPr="0021279D" w:rsidRDefault="0021279D" w:rsidP="0021279D">
            <w:pPr>
              <w:jc w:val="both"/>
            </w:pPr>
            <w:r w:rsidRPr="0021279D">
              <w:rPr>
                <w:b/>
                <w:bCs/>
              </w:rPr>
              <w:t>Yürürlük</w:t>
            </w:r>
          </w:p>
          <w:p w14:paraId="7F294B68" w14:textId="77777777" w:rsidR="0021279D" w:rsidRPr="0021279D" w:rsidRDefault="0021279D" w:rsidP="0021279D">
            <w:pPr>
              <w:jc w:val="both"/>
            </w:pPr>
            <w:r w:rsidRPr="0021279D">
              <w:rPr>
                <w:b/>
                <w:bCs/>
              </w:rPr>
              <w:t>MADDE 4- </w:t>
            </w:r>
            <w:r w:rsidRPr="0021279D">
              <w:t>(1) Bu Tebliğ, Eylül 2024 dönemi ve bu dönemi izleyen dönemlere uygulanmak üzere 1/10/2024 tarihinde yürürlüğe girer.</w:t>
            </w:r>
          </w:p>
          <w:p w14:paraId="6E3EC672" w14:textId="77777777" w:rsidR="0021279D" w:rsidRPr="0021279D" w:rsidRDefault="0021279D" w:rsidP="0021279D">
            <w:pPr>
              <w:jc w:val="both"/>
            </w:pPr>
            <w:r w:rsidRPr="0021279D">
              <w:rPr>
                <w:b/>
                <w:bCs/>
              </w:rPr>
              <w:t>Yürütme</w:t>
            </w:r>
          </w:p>
          <w:p w14:paraId="794FF261" w14:textId="77777777" w:rsidR="0021279D" w:rsidRPr="0021279D" w:rsidRDefault="0021279D" w:rsidP="0021279D">
            <w:pPr>
              <w:jc w:val="both"/>
            </w:pPr>
            <w:r w:rsidRPr="0021279D">
              <w:rPr>
                <w:b/>
                <w:bCs/>
              </w:rPr>
              <w:t>MADDE 5- </w:t>
            </w:r>
            <w:r w:rsidRPr="0021279D">
              <w:t>(1) Bu Tebliğ hükümlerini Hazine ve Maliye Bakanı yürütür.</w:t>
            </w:r>
          </w:p>
        </w:tc>
      </w:tr>
    </w:tbl>
    <w:p w14:paraId="0812EA30" w14:textId="77777777" w:rsidR="00F40434" w:rsidRDefault="00F40434"/>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9D"/>
    <w:rsid w:val="0009241A"/>
    <w:rsid w:val="0021279D"/>
    <w:rsid w:val="004B024D"/>
    <w:rsid w:val="005B5DFE"/>
    <w:rsid w:val="005F324D"/>
    <w:rsid w:val="0068156B"/>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32A8"/>
  <w15:chartTrackingRefBased/>
  <w15:docId w15:val="{AC51EE11-B055-485F-98AD-FDBDF402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12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12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1279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1279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1279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1279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1279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1279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1279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79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1279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1279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1279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1279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1279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1279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1279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1279D"/>
    <w:rPr>
      <w:rFonts w:eastAsiaTheme="majorEastAsia" w:cstheme="majorBidi"/>
      <w:color w:val="272727" w:themeColor="text1" w:themeTint="D8"/>
    </w:rPr>
  </w:style>
  <w:style w:type="paragraph" w:styleId="KonuBal">
    <w:name w:val="Title"/>
    <w:basedOn w:val="Normal"/>
    <w:next w:val="Normal"/>
    <w:link w:val="KonuBalChar"/>
    <w:uiPriority w:val="10"/>
    <w:qFormat/>
    <w:rsid w:val="00212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1279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1279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1279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1279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1279D"/>
    <w:rPr>
      <w:i/>
      <w:iCs/>
      <w:color w:val="404040" w:themeColor="text1" w:themeTint="BF"/>
    </w:rPr>
  </w:style>
  <w:style w:type="paragraph" w:styleId="ListeParagraf">
    <w:name w:val="List Paragraph"/>
    <w:basedOn w:val="Normal"/>
    <w:uiPriority w:val="34"/>
    <w:qFormat/>
    <w:rsid w:val="0021279D"/>
    <w:pPr>
      <w:ind w:left="720"/>
      <w:contextualSpacing/>
    </w:pPr>
  </w:style>
  <w:style w:type="character" w:styleId="GlVurgulama">
    <w:name w:val="Intense Emphasis"/>
    <w:basedOn w:val="VarsaylanParagrafYazTipi"/>
    <w:uiPriority w:val="21"/>
    <w:qFormat/>
    <w:rsid w:val="0021279D"/>
    <w:rPr>
      <w:i/>
      <w:iCs/>
      <w:color w:val="0F4761" w:themeColor="accent1" w:themeShade="BF"/>
    </w:rPr>
  </w:style>
  <w:style w:type="paragraph" w:styleId="GlAlnt">
    <w:name w:val="Intense Quote"/>
    <w:basedOn w:val="Normal"/>
    <w:next w:val="Normal"/>
    <w:link w:val="GlAlntChar"/>
    <w:uiPriority w:val="30"/>
    <w:qFormat/>
    <w:rsid w:val="00212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1279D"/>
    <w:rPr>
      <w:i/>
      <w:iCs/>
      <w:color w:val="0F4761" w:themeColor="accent1" w:themeShade="BF"/>
    </w:rPr>
  </w:style>
  <w:style w:type="character" w:styleId="GlBavuru">
    <w:name w:val="Intense Reference"/>
    <w:basedOn w:val="VarsaylanParagrafYazTipi"/>
    <w:uiPriority w:val="32"/>
    <w:qFormat/>
    <w:rsid w:val="002127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759">
      <w:bodyDiv w:val="1"/>
      <w:marLeft w:val="0"/>
      <w:marRight w:val="0"/>
      <w:marTop w:val="0"/>
      <w:marBottom w:val="0"/>
      <w:divBdr>
        <w:top w:val="none" w:sz="0" w:space="0" w:color="auto"/>
        <w:left w:val="none" w:sz="0" w:space="0" w:color="auto"/>
        <w:bottom w:val="none" w:sz="0" w:space="0" w:color="auto"/>
        <w:right w:val="none" w:sz="0" w:space="0" w:color="auto"/>
      </w:divBdr>
    </w:div>
    <w:div w:id="183378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2024-09-25T06:11:00Z</dcterms:created>
  <dcterms:modified xsi:type="dcterms:W3CDTF">2024-09-25T06:11:00Z</dcterms:modified>
</cp:coreProperties>
</file>